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D719" w14:textId="77777777" w:rsidR="005601E7" w:rsidRPr="006602A1" w:rsidRDefault="005601E7" w:rsidP="005601E7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81799255"/>
      <w:r w:rsidRPr="006602A1">
        <w:rPr>
          <w:rFonts w:ascii="Times New Roman" w:hAnsi="Times New Roman" w:cs="Times New Roman"/>
          <w:b/>
          <w:bCs/>
          <w:u w:val="single"/>
        </w:rPr>
        <w:t>Bükkszentkereszt Község Képviselő-testületének</w:t>
      </w:r>
    </w:p>
    <w:p w14:paraId="31FF973A" w14:textId="77777777" w:rsidR="005601E7" w:rsidRDefault="005601E7" w:rsidP="005601E7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6602A1">
        <w:rPr>
          <w:rFonts w:ascii="Times New Roman" w:hAnsi="Times New Roman" w:cs="Times New Roman"/>
          <w:b/>
          <w:bCs/>
          <w:u w:val="single"/>
        </w:rPr>
        <w:t>85/ 2024 (X.31) Önkormányzati Határozata</w:t>
      </w:r>
    </w:p>
    <w:p w14:paraId="355947F0" w14:textId="77777777" w:rsidR="005601E7" w:rsidRPr="006602A1" w:rsidRDefault="005601E7" w:rsidP="005601E7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D29A10C" w14:textId="77777777" w:rsidR="005601E7" w:rsidRPr="00C47908" w:rsidRDefault="005601E7" w:rsidP="005601E7">
      <w:pPr>
        <w:pStyle w:val="Nincstrkz"/>
        <w:rPr>
          <w:rFonts w:ascii="Times New Roman" w:hAnsi="Times New Roman" w:cs="Times New Roman"/>
        </w:rPr>
      </w:pPr>
      <w:proofErr w:type="gramStart"/>
      <w:r w:rsidRPr="00C47908">
        <w:rPr>
          <w:rFonts w:ascii="Times New Roman" w:hAnsi="Times New Roman" w:cs="Times New Roman"/>
          <w:u w:val="single"/>
        </w:rPr>
        <w:t>Tárgy</w:t>
      </w:r>
      <w:r w:rsidRPr="00C47908">
        <w:rPr>
          <w:rFonts w:ascii="Times New Roman" w:hAnsi="Times New Roman" w:cs="Times New Roman"/>
        </w:rPr>
        <w:t>:  Javaslat</w:t>
      </w:r>
      <w:proofErr w:type="gramEnd"/>
      <w:r w:rsidRPr="00C47908">
        <w:rPr>
          <w:rFonts w:ascii="Times New Roman" w:hAnsi="Times New Roman" w:cs="Times New Roman"/>
        </w:rPr>
        <w:t xml:space="preserve"> a polgármester 2024. évi időarányos szabadságának megállapítására és szabadságolási ütemtervének jóváhagyására</w:t>
      </w:r>
    </w:p>
    <w:p w14:paraId="0114218E" w14:textId="77777777" w:rsidR="005601E7" w:rsidRDefault="005601E7" w:rsidP="005601E7">
      <w:pPr>
        <w:pStyle w:val="HeaderandFooter"/>
        <w:jc w:val="both"/>
      </w:pPr>
      <w:r w:rsidRPr="00ED718B">
        <w:rPr>
          <w:rFonts w:eastAsiaTheme="minorHAnsi"/>
          <w:lang w:eastAsia="hu-HU"/>
        </w:rPr>
        <w:t xml:space="preserve">Bükkszentkereszt </w:t>
      </w:r>
      <w:r w:rsidRPr="00ED718B">
        <w:rPr>
          <w:lang w:eastAsia="hu-HU"/>
        </w:rPr>
        <w:t>Község Önkormányzat Képviselő-testülete</w:t>
      </w:r>
      <w:r>
        <w:t xml:space="preserve"> megtárgyalta a polgármester 2024. évi időarányos szabadságának megállapítására és szabadságolási ütemtervének jóváhagyására vonatkozó javaslatot és az alábbi határozatot hozta: </w:t>
      </w:r>
    </w:p>
    <w:p w14:paraId="7C57F00A" w14:textId="77777777" w:rsidR="005601E7" w:rsidRDefault="005601E7" w:rsidP="005601E7">
      <w:pPr>
        <w:pStyle w:val="HeaderandFooter"/>
        <w:jc w:val="both"/>
      </w:pPr>
      <w:r>
        <w:t xml:space="preserve">1./ A képviselő-testület Solymosi Konrád Ferenc polgármester 2024. évi időarányos szabadságát 10 napban határozta meg. </w:t>
      </w:r>
    </w:p>
    <w:p w14:paraId="54A0BD53" w14:textId="77777777" w:rsidR="005601E7" w:rsidRDefault="005601E7" w:rsidP="005601E7">
      <w:pPr>
        <w:pStyle w:val="HeaderandFooter"/>
        <w:jc w:val="both"/>
      </w:pPr>
      <w:r>
        <w:t>2./ A képviselő-testület a határozat melléklete szerinti tartalommal jóváhagyta Solymosi Konrád Ferenc polgármester 2024. évi időarányos szabadságolási ütemtervét.</w:t>
      </w:r>
    </w:p>
    <w:p w14:paraId="358BEAC0" w14:textId="77777777" w:rsidR="005601E7" w:rsidRDefault="005601E7" w:rsidP="005601E7">
      <w:pPr>
        <w:pStyle w:val="HeaderandFooter"/>
        <w:jc w:val="both"/>
      </w:pPr>
    </w:p>
    <w:p w14:paraId="53B99A2C" w14:textId="77777777" w:rsidR="005601E7" w:rsidRDefault="005601E7" w:rsidP="005601E7">
      <w:pPr>
        <w:pStyle w:val="HeaderandFooter"/>
        <w:jc w:val="center"/>
      </w:pPr>
      <w:r>
        <w:t>Határidő: értelemszerűen</w:t>
      </w:r>
    </w:p>
    <w:p w14:paraId="125C5C55" w14:textId="77777777" w:rsidR="005601E7" w:rsidRDefault="005601E7" w:rsidP="005601E7">
      <w:pPr>
        <w:pStyle w:val="HeaderandFooter"/>
        <w:jc w:val="center"/>
      </w:pPr>
      <w:r>
        <w:t>Felelős: Solymosi Konrád Ferenc polgármester</w:t>
      </w:r>
    </w:p>
    <w:p w14:paraId="7C4EF441" w14:textId="77777777" w:rsidR="005601E7" w:rsidRDefault="005601E7" w:rsidP="005601E7">
      <w:pPr>
        <w:pStyle w:val="HeaderandFooter"/>
        <w:jc w:val="center"/>
      </w:pPr>
      <w:r>
        <w:t>dr. Négyesi-Lévai Bernadett jegyző</w:t>
      </w:r>
    </w:p>
    <w:p w14:paraId="7BFD5779" w14:textId="77777777" w:rsidR="005601E7" w:rsidRDefault="005601E7" w:rsidP="005601E7">
      <w:pPr>
        <w:pStyle w:val="HeaderandFooter"/>
      </w:pPr>
    </w:p>
    <w:p w14:paraId="4111B285" w14:textId="77777777" w:rsidR="005601E7" w:rsidRDefault="005601E7" w:rsidP="005601E7">
      <w:pPr>
        <w:pStyle w:val="HeaderandFooter"/>
      </w:pPr>
    </w:p>
    <w:p w14:paraId="5EFA7201" w14:textId="77777777" w:rsidR="005601E7" w:rsidRDefault="005601E7" w:rsidP="005601E7">
      <w:pPr>
        <w:pStyle w:val="HeaderandFooter"/>
      </w:pPr>
      <w:r>
        <w:t xml:space="preserve">85/2024. (X. 31.) határozat melléklete </w:t>
      </w:r>
    </w:p>
    <w:p w14:paraId="48F47A76" w14:textId="77777777" w:rsidR="005601E7" w:rsidRDefault="005601E7" w:rsidP="005601E7">
      <w:pPr>
        <w:pStyle w:val="HeaderandFooter"/>
      </w:pPr>
      <w:r>
        <w:t xml:space="preserve">2024. évi időarányos szabadságolási ütemterv </w:t>
      </w:r>
    </w:p>
    <w:p w14:paraId="660AE27F" w14:textId="77777777" w:rsidR="005601E7" w:rsidRDefault="005601E7" w:rsidP="005601E7">
      <w:pPr>
        <w:pStyle w:val="HeaderandFooter"/>
      </w:pPr>
    </w:p>
    <w:p w14:paraId="4AA015FA" w14:textId="77777777" w:rsidR="005601E7" w:rsidRDefault="005601E7" w:rsidP="005601E7">
      <w:pPr>
        <w:pStyle w:val="HeaderandFooter"/>
      </w:pPr>
      <w:r>
        <w:t xml:space="preserve"> </w:t>
      </w:r>
    </w:p>
    <w:tbl>
      <w:tblPr>
        <w:tblStyle w:val="Rcsostblzat"/>
        <w:tblW w:w="6799" w:type="dxa"/>
        <w:tblLook w:val="04A0" w:firstRow="1" w:lastRow="0" w:firstColumn="1" w:lastColumn="0" w:noHBand="0" w:noVBand="1"/>
      </w:tblPr>
      <w:tblGrid>
        <w:gridCol w:w="3058"/>
        <w:gridCol w:w="2395"/>
        <w:gridCol w:w="1346"/>
      </w:tblGrid>
      <w:tr w:rsidR="005601E7" w14:paraId="539688D7" w14:textId="77777777" w:rsidTr="005F76CF">
        <w:tc>
          <w:tcPr>
            <w:tcW w:w="3058" w:type="dxa"/>
          </w:tcPr>
          <w:p w14:paraId="7A77EA9D" w14:textId="77777777" w:rsidR="005601E7" w:rsidRPr="00C42A7F" w:rsidRDefault="005601E7" w:rsidP="005F76CF">
            <w:pPr>
              <w:pStyle w:val="HeaderandFooter"/>
              <w:rPr>
                <w:b/>
                <w:bCs/>
              </w:rPr>
            </w:pPr>
            <w:r w:rsidRPr="00C42A7F">
              <w:rPr>
                <w:b/>
                <w:bCs/>
              </w:rPr>
              <w:t>2024. évi időarányos szabadság mértéke</w:t>
            </w:r>
          </w:p>
        </w:tc>
        <w:tc>
          <w:tcPr>
            <w:tcW w:w="2395" w:type="dxa"/>
          </w:tcPr>
          <w:p w14:paraId="65707E39" w14:textId="77777777" w:rsidR="005601E7" w:rsidRPr="00C42A7F" w:rsidRDefault="005601E7" w:rsidP="005F76CF">
            <w:pPr>
              <w:pStyle w:val="HeaderandFooter"/>
              <w:rPr>
                <w:b/>
                <w:bCs/>
              </w:rPr>
            </w:pPr>
            <w:r>
              <w:t xml:space="preserve">           </w:t>
            </w:r>
            <w:r w:rsidRPr="00C42A7F">
              <w:rPr>
                <w:b/>
                <w:bCs/>
              </w:rPr>
              <w:t xml:space="preserve">10 nap </w:t>
            </w:r>
          </w:p>
        </w:tc>
        <w:tc>
          <w:tcPr>
            <w:tcW w:w="1346" w:type="dxa"/>
          </w:tcPr>
          <w:p w14:paraId="27A72DD8" w14:textId="77777777" w:rsidR="005601E7" w:rsidRDefault="005601E7" w:rsidP="005F76CF">
            <w:pPr>
              <w:pStyle w:val="HeaderandFooter"/>
            </w:pPr>
          </w:p>
        </w:tc>
      </w:tr>
      <w:tr w:rsidR="005601E7" w:rsidRPr="00C42A7F" w14:paraId="3004F6B7" w14:textId="77777777" w:rsidTr="005F76CF">
        <w:tc>
          <w:tcPr>
            <w:tcW w:w="3058" w:type="dxa"/>
          </w:tcPr>
          <w:p w14:paraId="510C83FC" w14:textId="77777777" w:rsidR="005601E7" w:rsidRPr="00C42A7F" w:rsidRDefault="005601E7" w:rsidP="005F76CF">
            <w:pPr>
              <w:pStyle w:val="HeaderandFooter"/>
              <w:rPr>
                <w:b/>
                <w:bCs/>
              </w:rPr>
            </w:pPr>
            <w:r w:rsidRPr="00C42A7F">
              <w:rPr>
                <w:b/>
                <w:bCs/>
              </w:rPr>
              <w:t xml:space="preserve">hónap </w:t>
            </w:r>
          </w:p>
          <w:p w14:paraId="68303941" w14:textId="77777777" w:rsidR="005601E7" w:rsidRPr="00C42A7F" w:rsidRDefault="005601E7" w:rsidP="005F76CF">
            <w:pPr>
              <w:pStyle w:val="HeaderandFooter"/>
              <w:rPr>
                <w:b/>
                <w:bCs/>
              </w:rPr>
            </w:pPr>
          </w:p>
        </w:tc>
        <w:tc>
          <w:tcPr>
            <w:tcW w:w="2395" w:type="dxa"/>
          </w:tcPr>
          <w:p w14:paraId="1D11633C" w14:textId="77777777" w:rsidR="005601E7" w:rsidRPr="00C42A7F" w:rsidRDefault="005601E7" w:rsidP="005F76CF">
            <w:pPr>
              <w:pStyle w:val="HeaderandFooter"/>
              <w:rPr>
                <w:b/>
                <w:bCs/>
              </w:rPr>
            </w:pPr>
            <w:r w:rsidRPr="00C42A7F">
              <w:rPr>
                <w:b/>
                <w:bCs/>
              </w:rPr>
              <w:t>igénybe vett napok</w:t>
            </w:r>
          </w:p>
        </w:tc>
        <w:tc>
          <w:tcPr>
            <w:tcW w:w="1346" w:type="dxa"/>
          </w:tcPr>
          <w:p w14:paraId="3F18A87F" w14:textId="77777777" w:rsidR="005601E7" w:rsidRPr="00C42A7F" w:rsidRDefault="005601E7" w:rsidP="005F76CF">
            <w:pPr>
              <w:pStyle w:val="HeaderandFooter"/>
              <w:rPr>
                <w:b/>
                <w:bCs/>
              </w:rPr>
            </w:pPr>
            <w:r w:rsidRPr="00C42A7F">
              <w:rPr>
                <w:b/>
                <w:bCs/>
              </w:rPr>
              <w:t xml:space="preserve">nap </w:t>
            </w:r>
          </w:p>
        </w:tc>
      </w:tr>
      <w:tr w:rsidR="005601E7" w14:paraId="0390978D" w14:textId="77777777" w:rsidTr="005F76CF">
        <w:tc>
          <w:tcPr>
            <w:tcW w:w="3058" w:type="dxa"/>
          </w:tcPr>
          <w:p w14:paraId="49799782" w14:textId="77777777" w:rsidR="005601E7" w:rsidRDefault="005601E7" w:rsidP="005F76CF">
            <w:pPr>
              <w:pStyle w:val="HeaderandFooter"/>
            </w:pPr>
            <w:r>
              <w:t>október</w:t>
            </w:r>
          </w:p>
          <w:p w14:paraId="58B62593" w14:textId="77777777" w:rsidR="005601E7" w:rsidRDefault="005601E7" w:rsidP="005F76CF">
            <w:pPr>
              <w:pStyle w:val="HeaderandFooter"/>
            </w:pPr>
          </w:p>
        </w:tc>
        <w:tc>
          <w:tcPr>
            <w:tcW w:w="2395" w:type="dxa"/>
          </w:tcPr>
          <w:p w14:paraId="5ECC5FF4" w14:textId="77777777" w:rsidR="005601E7" w:rsidRDefault="005601E7" w:rsidP="005F76CF">
            <w:pPr>
              <w:pStyle w:val="HeaderandFooter"/>
            </w:pPr>
            <w:r>
              <w:t>28,29</w:t>
            </w:r>
          </w:p>
        </w:tc>
        <w:tc>
          <w:tcPr>
            <w:tcW w:w="1346" w:type="dxa"/>
          </w:tcPr>
          <w:p w14:paraId="6189EE87" w14:textId="77777777" w:rsidR="005601E7" w:rsidRDefault="005601E7" w:rsidP="005F76CF">
            <w:pPr>
              <w:pStyle w:val="HeaderandFooter"/>
            </w:pPr>
            <w:r>
              <w:t>2</w:t>
            </w:r>
          </w:p>
        </w:tc>
      </w:tr>
      <w:tr w:rsidR="005601E7" w14:paraId="6348AB6B" w14:textId="77777777" w:rsidTr="005F76CF">
        <w:tc>
          <w:tcPr>
            <w:tcW w:w="3058" w:type="dxa"/>
          </w:tcPr>
          <w:p w14:paraId="5D129BEA" w14:textId="77777777" w:rsidR="005601E7" w:rsidRDefault="005601E7" w:rsidP="005F76CF">
            <w:pPr>
              <w:pStyle w:val="HeaderandFooter"/>
            </w:pPr>
            <w:r>
              <w:t>november</w:t>
            </w:r>
          </w:p>
          <w:p w14:paraId="2DF459D8" w14:textId="77777777" w:rsidR="005601E7" w:rsidRDefault="005601E7" w:rsidP="005F76CF">
            <w:pPr>
              <w:pStyle w:val="HeaderandFooter"/>
            </w:pPr>
          </w:p>
        </w:tc>
        <w:tc>
          <w:tcPr>
            <w:tcW w:w="2395" w:type="dxa"/>
          </w:tcPr>
          <w:p w14:paraId="12277449" w14:textId="77777777" w:rsidR="005601E7" w:rsidRDefault="005601E7" w:rsidP="005F76CF">
            <w:pPr>
              <w:pStyle w:val="HeaderandFooter"/>
            </w:pPr>
            <w:r>
              <w:t>8, 15</w:t>
            </w:r>
          </w:p>
        </w:tc>
        <w:tc>
          <w:tcPr>
            <w:tcW w:w="1346" w:type="dxa"/>
          </w:tcPr>
          <w:p w14:paraId="0EA4CC92" w14:textId="77777777" w:rsidR="005601E7" w:rsidRDefault="005601E7" w:rsidP="005F76CF">
            <w:pPr>
              <w:pStyle w:val="HeaderandFooter"/>
            </w:pPr>
            <w:r>
              <w:t>2</w:t>
            </w:r>
          </w:p>
        </w:tc>
      </w:tr>
      <w:tr w:rsidR="005601E7" w14:paraId="5A1FD354" w14:textId="77777777" w:rsidTr="005F76CF">
        <w:tc>
          <w:tcPr>
            <w:tcW w:w="3058" w:type="dxa"/>
          </w:tcPr>
          <w:p w14:paraId="75E5126B" w14:textId="77777777" w:rsidR="005601E7" w:rsidRDefault="005601E7" w:rsidP="005F76CF">
            <w:pPr>
              <w:pStyle w:val="HeaderandFooter"/>
            </w:pPr>
            <w:r>
              <w:t>december</w:t>
            </w:r>
          </w:p>
          <w:p w14:paraId="700077F2" w14:textId="77777777" w:rsidR="005601E7" w:rsidRDefault="005601E7" w:rsidP="005F76CF">
            <w:pPr>
              <w:pStyle w:val="HeaderandFooter"/>
            </w:pPr>
          </w:p>
        </w:tc>
        <w:tc>
          <w:tcPr>
            <w:tcW w:w="2395" w:type="dxa"/>
          </w:tcPr>
          <w:p w14:paraId="5D068077" w14:textId="77777777" w:rsidR="005601E7" w:rsidRDefault="005601E7" w:rsidP="005F76CF">
            <w:pPr>
              <w:pStyle w:val="HeaderandFooter"/>
            </w:pPr>
            <w:r>
              <w:t>6,7,13,14,20,30</w:t>
            </w:r>
          </w:p>
        </w:tc>
        <w:tc>
          <w:tcPr>
            <w:tcW w:w="1346" w:type="dxa"/>
          </w:tcPr>
          <w:p w14:paraId="5D7B3151" w14:textId="77777777" w:rsidR="005601E7" w:rsidRDefault="005601E7" w:rsidP="005F76CF">
            <w:pPr>
              <w:pStyle w:val="HeaderandFooter"/>
            </w:pPr>
            <w:r>
              <w:t>6</w:t>
            </w:r>
          </w:p>
        </w:tc>
      </w:tr>
    </w:tbl>
    <w:p w14:paraId="11FB34BB" w14:textId="77777777" w:rsidR="005601E7" w:rsidRDefault="005601E7" w:rsidP="005601E7">
      <w:pPr>
        <w:pStyle w:val="HeaderandFooter"/>
      </w:pPr>
    </w:p>
    <w:bookmarkEnd w:id="0"/>
    <w:p w14:paraId="43311E9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06"/>
    <w:rsid w:val="00225D59"/>
    <w:rsid w:val="00287C65"/>
    <w:rsid w:val="005601E7"/>
    <w:rsid w:val="006F4A06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2EB50-0018-4A8D-83D7-1C1F4745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01E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F4A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4A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4A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4A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4A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4A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4A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4A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4A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F4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4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4A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4A0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4A0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4A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4A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4A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4A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F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4A0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F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4A0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F4A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4A0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F4A0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4A0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601E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601E7"/>
    <w:rPr>
      <w:rFonts w:eastAsiaTheme="minorEastAsia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5601E7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Norml"/>
    <w:qFormat/>
    <w:rsid w:val="005601E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2025-08-01T07:31:00Z</dcterms:created>
  <dcterms:modified xsi:type="dcterms:W3CDTF">2025-08-01T07:31:00Z</dcterms:modified>
</cp:coreProperties>
</file>