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5D3BB" w14:textId="77777777" w:rsidR="00A35FB0" w:rsidRPr="008533D6" w:rsidRDefault="00000000" w:rsidP="00EA67B7">
      <w:pPr>
        <w:spacing w:after="20"/>
        <w:jc w:val="center"/>
        <w:rPr>
          <w:b/>
          <w:sz w:val="28"/>
          <w:szCs w:val="24"/>
        </w:rPr>
      </w:pPr>
      <w:r>
        <w:rPr>
          <w:b/>
          <w:sz w:val="28"/>
          <w:szCs w:val="24"/>
        </w:rPr>
        <w:t>SAJTÓKÖZLEMÉNY</w:t>
      </w:r>
    </w:p>
    <w:p w14:paraId="7C788246" w14:textId="77777777" w:rsidR="00A35FB0" w:rsidRPr="008533D6" w:rsidRDefault="00000000">
      <w:pPr>
        <w:spacing w:after="100"/>
        <w:jc w:val="center"/>
        <w:rPr>
          <w:sz w:val="22"/>
          <w:szCs w:val="24"/>
        </w:rPr>
      </w:pPr>
      <w:r>
        <w:rPr>
          <w:b/>
          <w:sz w:val="24"/>
          <w:szCs w:val="24"/>
        </w:rPr>
        <w:t>A „Mushroom Days for a United Europe” magyarországi, romániai és szlovákiai közösségeket hozott össze</w:t>
      </w:r>
    </w:p>
    <w:p w14:paraId="6FAD887C" w14:textId="77777777" w:rsidR="00EB7C38" w:rsidRPr="008533D6" w:rsidRDefault="00EB7C38">
      <w:pPr>
        <w:spacing w:after="0"/>
        <w:rPr>
          <w:i/>
          <w:sz w:val="22"/>
          <w:szCs w:val="24"/>
        </w:rPr>
      </w:pPr>
    </w:p>
    <w:p w14:paraId="362AB35D" w14:textId="1EAD0BE1" w:rsidR="00A35FB0" w:rsidRPr="008533D6" w:rsidRDefault="00000000">
      <w:pPr>
        <w:spacing w:after="0"/>
        <w:rPr>
          <w:sz w:val="22"/>
          <w:szCs w:val="24"/>
        </w:rPr>
      </w:pPr>
      <w:r>
        <w:rPr>
          <w:i/>
          <w:sz w:val="22"/>
          <w:szCs w:val="24"/>
        </w:rPr>
        <w:t>Bükkszentkereszt, Magyarország</w:t>
      </w:r>
    </w:p>
    <w:p w14:paraId="1F2FBB0C" w14:textId="1AC141E9" w:rsidR="00A35FB0" w:rsidRPr="008533D6" w:rsidRDefault="00000000">
      <w:pPr>
        <w:spacing w:after="100"/>
        <w:rPr>
          <w:sz w:val="22"/>
          <w:szCs w:val="24"/>
        </w:rPr>
      </w:pPr>
      <w:r>
        <w:rPr>
          <w:i/>
          <w:sz w:val="22"/>
          <w:szCs w:val="24"/>
        </w:rPr>
        <w:t>2026. október 1</w:t>
      </w:r>
      <w:r w:rsidR="00EA67B7">
        <w:rPr>
          <w:i/>
          <w:sz w:val="22"/>
          <w:szCs w:val="24"/>
        </w:rPr>
        <w:t>4</w:t>
      </w:r>
      <w:r>
        <w:rPr>
          <w:i/>
          <w:sz w:val="22"/>
          <w:szCs w:val="24"/>
        </w:rPr>
        <w:t>.</w:t>
      </w:r>
    </w:p>
    <w:p w14:paraId="54DE25F0" w14:textId="2AC9EC2E" w:rsidR="00EB7C38" w:rsidRPr="008533D6" w:rsidRDefault="00EB7C38" w:rsidP="00EB7C38">
      <w:pPr>
        <w:spacing w:before="40" w:after="60"/>
        <w:ind w:firstLine="720"/>
        <w:rPr>
          <w:sz w:val="22"/>
          <w:szCs w:val="24"/>
        </w:rPr>
      </w:pPr>
      <w:r>
        <w:rPr>
          <w:b/>
          <w:bCs/>
          <w:sz w:val="22"/>
          <w:szCs w:val="24"/>
        </w:rPr>
        <w:t>2026. október 9–11.</w:t>
      </w:r>
      <w:r>
        <w:rPr>
          <w:sz w:val="22"/>
          <w:szCs w:val="24"/>
        </w:rPr>
        <w:t xml:space="preserve"> között </w:t>
      </w:r>
      <w:r>
        <w:rPr>
          <w:b/>
          <w:bCs/>
          <w:sz w:val="22"/>
          <w:szCs w:val="24"/>
        </w:rPr>
        <w:t>a magyarországi Bükkszentkereszt</w:t>
      </w:r>
      <w:r>
        <w:rPr>
          <w:sz w:val="22"/>
          <w:szCs w:val="24"/>
        </w:rPr>
        <w:t xml:space="preserve"> adott otthont a </w:t>
      </w:r>
      <w:r>
        <w:rPr>
          <w:b/>
          <w:bCs/>
          <w:sz w:val="22"/>
          <w:szCs w:val="24"/>
        </w:rPr>
        <w:t>„Mushroom Days for a United Europe”</w:t>
      </w:r>
      <w:r>
        <w:rPr>
          <w:sz w:val="22"/>
          <w:szCs w:val="24"/>
        </w:rPr>
        <w:t xml:space="preserve"> nemzetközi rendezvénynek, amelyet az </w:t>
      </w:r>
      <w:r>
        <w:rPr>
          <w:b/>
          <w:bCs/>
          <w:sz w:val="22"/>
          <w:szCs w:val="24"/>
        </w:rPr>
        <w:t>Állampolgárok, Egyenlőség, Jogok és Értékek (CERV)</w:t>
      </w:r>
      <w:r>
        <w:rPr>
          <w:sz w:val="22"/>
          <w:szCs w:val="24"/>
        </w:rPr>
        <w:t xml:space="preserve"> program keretében szerveztek meg (projektszám: </w:t>
      </w:r>
      <w:r>
        <w:rPr>
          <w:b/>
          <w:bCs/>
          <w:sz w:val="22"/>
          <w:szCs w:val="24"/>
        </w:rPr>
        <w:t>101291420</w:t>
      </w:r>
      <w:r>
        <w:rPr>
          <w:sz w:val="22"/>
          <w:szCs w:val="24"/>
        </w:rPr>
        <w:t>).</w:t>
      </w:r>
    </w:p>
    <w:p w14:paraId="69625AFA" w14:textId="443A5A5D" w:rsidR="00EB7C38" w:rsidRPr="008533D6" w:rsidRDefault="00EB7C38" w:rsidP="00EB7C38">
      <w:pPr>
        <w:spacing w:before="40" w:after="60"/>
        <w:ind w:firstLine="720"/>
        <w:rPr>
          <w:sz w:val="22"/>
          <w:szCs w:val="24"/>
        </w:rPr>
      </w:pPr>
      <w:r>
        <w:rPr>
          <w:sz w:val="22"/>
          <w:szCs w:val="24"/>
        </w:rPr>
        <w:t xml:space="preserve">A projektet </w:t>
      </w:r>
      <w:r>
        <w:rPr>
          <w:b/>
          <w:bCs/>
          <w:sz w:val="22"/>
          <w:szCs w:val="24"/>
        </w:rPr>
        <w:t>Bükkszentkereszt Község Önkormányzata</w:t>
      </w:r>
      <w:r>
        <w:rPr>
          <w:sz w:val="22"/>
          <w:szCs w:val="24"/>
        </w:rPr>
        <w:t xml:space="preserve"> koordinálja, partnerei a </w:t>
      </w:r>
      <w:r>
        <w:rPr>
          <w:b/>
          <w:bCs/>
          <w:sz w:val="22"/>
          <w:szCs w:val="24"/>
        </w:rPr>
        <w:t>romániai Nagyborosnyó Község Polgármesteri Hivatala</w:t>
      </w:r>
      <w:r>
        <w:rPr>
          <w:sz w:val="22"/>
          <w:szCs w:val="24"/>
        </w:rPr>
        <w:t xml:space="preserve"> és a </w:t>
      </w:r>
      <w:r>
        <w:rPr>
          <w:b/>
          <w:bCs/>
          <w:sz w:val="22"/>
          <w:szCs w:val="24"/>
        </w:rPr>
        <w:t xml:space="preserve">szlovákiai </w:t>
      </w:r>
      <w:proofErr w:type="spellStart"/>
      <w:r>
        <w:rPr>
          <w:b/>
          <w:bCs/>
          <w:sz w:val="22"/>
          <w:szCs w:val="24"/>
        </w:rPr>
        <w:t>Dernő</w:t>
      </w:r>
      <w:proofErr w:type="spellEnd"/>
      <w:r>
        <w:rPr>
          <w:b/>
          <w:bCs/>
          <w:sz w:val="22"/>
          <w:szCs w:val="24"/>
        </w:rPr>
        <w:t xml:space="preserve"> Község</w:t>
      </w:r>
      <w:r w:rsidR="00BB0B7D">
        <w:rPr>
          <w:b/>
          <w:bCs/>
          <w:sz w:val="22"/>
          <w:szCs w:val="24"/>
        </w:rPr>
        <w:t xml:space="preserve"> Önkormányzata</w:t>
      </w:r>
      <w:r>
        <w:rPr>
          <w:b/>
          <w:bCs/>
          <w:sz w:val="22"/>
          <w:szCs w:val="24"/>
        </w:rPr>
        <w:t xml:space="preserve"> (Obec Drnava)</w:t>
      </w:r>
      <w:r>
        <w:rPr>
          <w:sz w:val="22"/>
          <w:szCs w:val="24"/>
        </w:rPr>
        <w:t xml:space="preserve">. A rendezvényre a </w:t>
      </w:r>
      <w:r w:rsidRPr="00BB0B7D">
        <w:rPr>
          <w:b/>
          <w:bCs/>
          <w:sz w:val="22"/>
          <w:szCs w:val="24"/>
        </w:rPr>
        <w:t>XX.</w:t>
      </w:r>
      <w:r>
        <w:rPr>
          <w:sz w:val="22"/>
          <w:szCs w:val="24"/>
        </w:rPr>
        <w:t xml:space="preserve"> </w:t>
      </w:r>
      <w:r>
        <w:rPr>
          <w:b/>
          <w:bCs/>
          <w:sz w:val="22"/>
          <w:szCs w:val="24"/>
        </w:rPr>
        <w:t>Bükkszentkereszti Gombanapok</w:t>
      </w:r>
      <w:r>
        <w:rPr>
          <w:sz w:val="22"/>
          <w:szCs w:val="24"/>
        </w:rPr>
        <w:t xml:space="preserve"> keretében került sor, így egy helyi hagyomány a közösségek közötti találkozás, párbeszéd és együttműködés európai terévé vált.</w:t>
      </w:r>
    </w:p>
    <w:p w14:paraId="7D490D25" w14:textId="77777777" w:rsidR="00EB7C38" w:rsidRPr="008533D6" w:rsidRDefault="00EB7C38" w:rsidP="00EB7C38">
      <w:pPr>
        <w:spacing w:before="40" w:after="60"/>
        <w:ind w:firstLine="720"/>
        <w:rPr>
          <w:sz w:val="22"/>
          <w:szCs w:val="24"/>
        </w:rPr>
      </w:pPr>
      <w:r>
        <w:rPr>
          <w:sz w:val="22"/>
          <w:szCs w:val="24"/>
        </w:rPr>
        <w:t xml:space="preserve">A három nap során a résztvevők az európai értékekhez, a szolidaritáshoz, a biológiai sokféleséghez, a természeti és kulturális örökséghez, valamint a partnerközösségek kapcsolatainak erősítéséhez kötődő programokon vettek részt. Előadások hangzottak el </w:t>
      </w:r>
      <w:r>
        <w:rPr>
          <w:b/>
          <w:bCs/>
          <w:sz w:val="22"/>
          <w:szCs w:val="24"/>
        </w:rPr>
        <w:t>az Európai Unió értékeiről</w:t>
      </w:r>
      <w:r>
        <w:rPr>
          <w:sz w:val="22"/>
          <w:szCs w:val="24"/>
        </w:rPr>
        <w:t xml:space="preserve">, a helyi közösségek előtt álló aktuális kihívásokról, a gombák helyi hagyományokban és a biológiai sokféleségben betöltött szerepéről, </w:t>
      </w:r>
      <w:r>
        <w:rPr>
          <w:b/>
          <w:bCs/>
          <w:sz w:val="22"/>
          <w:szCs w:val="24"/>
        </w:rPr>
        <w:t>az Európai Zöld Megállapodásról</w:t>
      </w:r>
      <w:r>
        <w:rPr>
          <w:sz w:val="22"/>
          <w:szCs w:val="24"/>
        </w:rPr>
        <w:t xml:space="preserve">, az erdők és a gombák élőhelyeinek megőrzéséről, valamint az </w:t>
      </w:r>
      <w:r>
        <w:rPr>
          <w:b/>
          <w:bCs/>
          <w:sz w:val="22"/>
          <w:szCs w:val="24"/>
        </w:rPr>
        <w:t>Erasmus+</w:t>
      </w:r>
      <w:r>
        <w:rPr>
          <w:sz w:val="22"/>
          <w:szCs w:val="24"/>
        </w:rPr>
        <w:t xml:space="preserve"> és az </w:t>
      </w:r>
      <w:r>
        <w:rPr>
          <w:b/>
          <w:bCs/>
          <w:sz w:val="22"/>
          <w:szCs w:val="24"/>
        </w:rPr>
        <w:t>Európai Szolidaritási Testület</w:t>
      </w:r>
      <w:r>
        <w:rPr>
          <w:sz w:val="22"/>
          <w:szCs w:val="24"/>
        </w:rPr>
        <w:t xml:space="preserve"> programjai által kínált lehetőségekről.</w:t>
      </w:r>
    </w:p>
    <w:p w14:paraId="768A4CF5" w14:textId="77777777" w:rsidR="00EB7C38" w:rsidRPr="008533D6" w:rsidRDefault="00EB7C38" w:rsidP="00EB7C38">
      <w:pPr>
        <w:spacing w:before="40" w:after="60"/>
        <w:ind w:firstLine="720"/>
        <w:rPr>
          <w:sz w:val="22"/>
          <w:szCs w:val="24"/>
        </w:rPr>
      </w:pPr>
      <w:r>
        <w:rPr>
          <w:sz w:val="22"/>
          <w:szCs w:val="24"/>
        </w:rPr>
        <w:t xml:space="preserve">A projekt egyik kiemelkedő eseménye a </w:t>
      </w:r>
      <w:r>
        <w:rPr>
          <w:b/>
          <w:bCs/>
          <w:sz w:val="22"/>
          <w:szCs w:val="24"/>
        </w:rPr>
        <w:t>„Hogyan lépjünk fel az euroszkepticizmus ellen?” című World Café</w:t>
      </w:r>
      <w:r>
        <w:rPr>
          <w:sz w:val="22"/>
          <w:szCs w:val="24"/>
        </w:rPr>
        <w:t xml:space="preserve"> volt, amelynek során a résztvevők az európai értékekbe vetett bizalomról, a polgárok közötti párbeszédről és a helyi együttműködés Európát erősítő szerepéről beszélgettek. A partnerek aláírták a </w:t>
      </w:r>
      <w:r>
        <w:rPr>
          <w:b/>
          <w:bCs/>
          <w:sz w:val="22"/>
          <w:szCs w:val="24"/>
        </w:rPr>
        <w:t>Bükkszentkereszt, Dernő és Nagyborosnyó közötti közös nyilatkozatot</w:t>
      </w:r>
      <w:r>
        <w:rPr>
          <w:sz w:val="22"/>
          <w:szCs w:val="24"/>
        </w:rPr>
        <w:t>, megerősítve szándékukat, hogy az együttműködést a projekt lezárása után is folytatják.</w:t>
      </w:r>
    </w:p>
    <w:p w14:paraId="32B75169" w14:textId="77777777" w:rsidR="00EB7C38" w:rsidRPr="008533D6" w:rsidRDefault="00EB7C38" w:rsidP="00EB7C38">
      <w:pPr>
        <w:spacing w:before="40" w:after="60"/>
        <w:ind w:firstLine="720"/>
        <w:rPr>
          <w:sz w:val="22"/>
          <w:szCs w:val="24"/>
        </w:rPr>
      </w:pPr>
      <w:r>
        <w:rPr>
          <w:sz w:val="22"/>
          <w:szCs w:val="24"/>
        </w:rPr>
        <w:t xml:space="preserve">A rendezvénynek erős közösségi és interkulturális dimenziója is volt. A programban főzőverseny, a </w:t>
      </w:r>
      <w:r>
        <w:rPr>
          <w:b/>
          <w:bCs/>
          <w:sz w:val="22"/>
          <w:szCs w:val="24"/>
        </w:rPr>
        <w:t>Barátság Fájának</w:t>
      </w:r>
      <w:r>
        <w:rPr>
          <w:sz w:val="22"/>
          <w:szCs w:val="24"/>
        </w:rPr>
        <w:t xml:space="preserve"> elültetése, művészeti előadások, családi programok, utcabál, valamint a </w:t>
      </w:r>
      <w:r>
        <w:rPr>
          <w:b/>
          <w:bCs/>
          <w:sz w:val="22"/>
          <w:szCs w:val="24"/>
        </w:rPr>
        <w:t>The Feelgood</w:t>
      </w:r>
      <w:r>
        <w:rPr>
          <w:sz w:val="22"/>
          <w:szCs w:val="24"/>
        </w:rPr>
        <w:t xml:space="preserve">, a </w:t>
      </w:r>
      <w:r>
        <w:rPr>
          <w:b/>
          <w:bCs/>
          <w:sz w:val="22"/>
          <w:szCs w:val="24"/>
        </w:rPr>
        <w:t>Moodgarden</w:t>
      </w:r>
      <w:r>
        <w:rPr>
          <w:sz w:val="22"/>
          <w:szCs w:val="24"/>
        </w:rPr>
        <w:t xml:space="preserve"> és a </w:t>
      </w:r>
      <w:r>
        <w:rPr>
          <w:b/>
          <w:bCs/>
          <w:sz w:val="22"/>
          <w:szCs w:val="24"/>
        </w:rPr>
        <w:t>Miskolci Illés Emlékzenekar</w:t>
      </w:r>
      <w:r>
        <w:rPr>
          <w:sz w:val="22"/>
          <w:szCs w:val="24"/>
        </w:rPr>
        <w:t xml:space="preserve"> koncertjei szerepeltek. A közönség részt vehetett tematikus túrákon és gombahatározáson, és megtekinthette a gombakiállítást, valamint a </w:t>
      </w:r>
      <w:r>
        <w:rPr>
          <w:b/>
          <w:bCs/>
          <w:sz w:val="22"/>
          <w:szCs w:val="24"/>
        </w:rPr>
        <w:t>Bükkszentkereszt, Nagyborosnyó és Dernő</w:t>
      </w:r>
      <w:r>
        <w:rPr>
          <w:sz w:val="22"/>
          <w:szCs w:val="24"/>
        </w:rPr>
        <w:t xml:space="preserve"> közösségeinek életét bemutató fotókiállítást.</w:t>
      </w:r>
    </w:p>
    <w:p w14:paraId="3DBAED1B" w14:textId="77777777" w:rsidR="00EB7C38" w:rsidRPr="008533D6" w:rsidRDefault="00EB7C38" w:rsidP="00EB7C38">
      <w:pPr>
        <w:spacing w:before="40" w:after="60"/>
        <w:ind w:firstLine="720"/>
        <w:rPr>
          <w:sz w:val="22"/>
          <w:szCs w:val="24"/>
        </w:rPr>
      </w:pPr>
      <w:r>
        <w:rPr>
          <w:sz w:val="22"/>
          <w:szCs w:val="24"/>
        </w:rPr>
        <w:t xml:space="preserve">A </w:t>
      </w:r>
      <w:r>
        <w:rPr>
          <w:b/>
          <w:bCs/>
          <w:sz w:val="22"/>
          <w:szCs w:val="24"/>
        </w:rPr>
        <w:t>„Mushroom Days for a United Europe”</w:t>
      </w:r>
      <w:r>
        <w:rPr>
          <w:sz w:val="22"/>
          <w:szCs w:val="24"/>
        </w:rPr>
        <w:t xml:space="preserve"> révén a természeti örökség, a helyi kultúra és az állampolgári részvétel összekapcsolódott az Európai Unió értékeivel és prioritásaival. A projekt megmutatta, hogy a helyi hagyományok az interkulturális párbeszéd, a szolidaritás és a határokon átnyúló együttműködés hatékony eszközeivé válhatnak.</w:t>
      </w:r>
    </w:p>
    <w:p w14:paraId="7A207214" w14:textId="77777777" w:rsidR="00EB7C38" w:rsidRPr="008533D6" w:rsidRDefault="00EB7C38" w:rsidP="00EB7C38">
      <w:pPr>
        <w:spacing w:before="40" w:after="60"/>
        <w:rPr>
          <w:sz w:val="22"/>
          <w:szCs w:val="24"/>
        </w:rPr>
      </w:pPr>
    </w:p>
    <w:p w14:paraId="4726F4FB" w14:textId="04BDA2F0" w:rsidR="00EB7C38" w:rsidRPr="008533D6" w:rsidRDefault="00EB7C38" w:rsidP="00EB7C38">
      <w:pPr>
        <w:spacing w:before="40" w:after="60"/>
        <w:rPr>
          <w:sz w:val="22"/>
          <w:szCs w:val="24"/>
        </w:rPr>
      </w:pPr>
      <w:r>
        <w:rPr>
          <w:sz w:val="22"/>
          <w:szCs w:val="24"/>
        </w:rPr>
        <w:t>A szervezők köszönetet mondanak a partnereknek, az önkénteseknek, a résztvevőknek, a fellépőknek, a helyi termelőknek és a közösség minden tagjának, akik hozzájárultak a rendezvény sikeréhez.</w:t>
      </w:r>
    </w:p>
    <w:p w14:paraId="1EDA26CE" w14:textId="77777777" w:rsidR="008533D6" w:rsidRPr="008533D6" w:rsidRDefault="00000000" w:rsidP="008533D6">
      <w:pPr>
        <w:spacing w:before="40" w:after="60"/>
        <w:rPr>
          <w:b/>
        </w:rPr>
      </w:pPr>
      <w:r>
        <w:rPr>
          <w:b/>
        </w:rPr>
        <w:t>További információ: Bükkszentkereszt Község Önkormányzata</w:t>
      </w:r>
    </w:p>
    <w:p w14:paraId="46B32962" w14:textId="277A6DFC" w:rsidR="005E7F8D" w:rsidRPr="008533D6" w:rsidRDefault="00000000" w:rsidP="008533D6">
      <w:pPr>
        <w:spacing w:before="40" w:after="60"/>
        <w:rPr>
          <w:sz w:val="22"/>
          <w:szCs w:val="24"/>
        </w:rPr>
      </w:pPr>
      <w:r>
        <w:rPr>
          <w:b/>
          <w:sz w:val="22"/>
          <w:szCs w:val="24"/>
        </w:rPr>
        <w:t xml:space="preserve">E-mail: </w:t>
      </w:r>
      <w:hyperlink r:id="rId8" w:history="1">
        <w:r w:rsidR="005E7F8D">
          <w:rPr>
            <w:rStyle w:val="Hiperhivatkozs"/>
            <w:b/>
            <w:sz w:val="22"/>
            <w:szCs w:val="24"/>
          </w:rPr>
          <w:t>bukkszentkeresztpalyazatok@gmail.com</w:t>
        </w:r>
      </w:hyperlink>
      <w:r>
        <w:rPr>
          <w:b/>
          <w:sz w:val="22"/>
          <w:szCs w:val="24"/>
        </w:rPr>
        <w:t xml:space="preserve"> </w:t>
      </w:r>
    </w:p>
    <w:sectPr w:rsidR="005E7F8D" w:rsidRPr="008533D6" w:rsidSect="00034616">
      <w:headerReference w:type="default" r:id="rId9"/>
      <w:footerReference w:type="default" r:id="rId10"/>
      <w:pgSz w:w="12240" w:h="15840"/>
      <w:pgMar w:top="547" w:right="979" w:bottom="490" w:left="979" w:header="216"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90A5D" w14:textId="77777777" w:rsidR="00C108D0" w:rsidRDefault="00C108D0" w:rsidP="00481D0E">
      <w:pPr>
        <w:spacing w:after="0" w:line="240" w:lineRule="auto"/>
      </w:pPr>
      <w:r>
        <w:separator/>
      </w:r>
    </w:p>
  </w:endnote>
  <w:endnote w:type="continuationSeparator" w:id="0">
    <w:p w14:paraId="6FB62412" w14:textId="77777777" w:rsidR="00C108D0" w:rsidRDefault="00C108D0" w:rsidP="00481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FD7DD" w14:textId="77777777" w:rsidR="00481D0E" w:rsidRDefault="00481D0E" w:rsidP="00481D0E">
    <w:pPr>
      <w:spacing w:before="40" w:after="40"/>
      <w:jc w:val="center"/>
    </w:pPr>
    <w:r>
      <w:rPr>
        <w:b/>
        <w:sz w:val="17"/>
      </w:rPr>
      <w:t xml:space="preserve">A projekt címe: </w:t>
    </w:r>
    <w:proofErr w:type="spellStart"/>
    <w:r>
      <w:rPr>
        <w:b/>
        <w:sz w:val="17"/>
      </w:rPr>
      <w:t>Mushroom</w:t>
    </w:r>
    <w:proofErr w:type="spellEnd"/>
    <w:r>
      <w:rPr>
        <w:b/>
        <w:sz w:val="17"/>
      </w:rPr>
      <w:t xml:space="preserve"> </w:t>
    </w:r>
    <w:proofErr w:type="spellStart"/>
    <w:r>
      <w:rPr>
        <w:b/>
        <w:sz w:val="17"/>
      </w:rPr>
      <w:t>Days</w:t>
    </w:r>
    <w:proofErr w:type="spellEnd"/>
    <w:r>
      <w:rPr>
        <w:b/>
        <w:sz w:val="17"/>
      </w:rPr>
      <w:t xml:space="preserve"> </w:t>
    </w:r>
    <w:proofErr w:type="spellStart"/>
    <w:r>
      <w:rPr>
        <w:b/>
        <w:sz w:val="17"/>
      </w:rPr>
      <w:t>for</w:t>
    </w:r>
    <w:proofErr w:type="spellEnd"/>
    <w:r>
      <w:rPr>
        <w:b/>
        <w:sz w:val="17"/>
      </w:rPr>
      <w:t xml:space="preserve"> a United Europe   |   Projektszám: 101291420</w:t>
    </w:r>
  </w:p>
  <w:p w14:paraId="44A8F7DA" w14:textId="77777777" w:rsidR="00481D0E" w:rsidRDefault="00481D0E" w:rsidP="00481D0E">
    <w:pPr>
      <w:spacing w:before="20" w:after="60" w:line="221" w:lineRule="auto"/>
      <w:jc w:val="both"/>
    </w:pPr>
    <w:r>
      <w:rPr>
        <w:i/>
        <w:sz w:val="16"/>
      </w:rPr>
      <w:t>Az Európai Unió finanszírozásával. Az itt szereplő vélemények és állítások a szerző(k) álláspontját tükrözik, és nem feltétlenül egyeznek meg az Európai Unió vagy az Európai Oktatási és Kulturális Végrehajtó Ügynökség (EACEA) hivatalos álláspontjával. Sem az Európai Unió, sem az EACEA nem vonható felelősségre miattuk.</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456"/>
      <w:gridCol w:w="3456"/>
      <w:gridCol w:w="3456"/>
    </w:tblGrid>
    <w:tr w:rsidR="00481D0E" w14:paraId="3C5C9182" w14:textId="77777777" w:rsidTr="00DF6110">
      <w:trPr>
        <w:jc w:val="center"/>
      </w:trPr>
      <w:tc>
        <w:tcPr>
          <w:tcW w:w="3456" w:type="dxa"/>
          <w:tcMar>
            <w:top w:w="0" w:type="dxa"/>
            <w:left w:w="0" w:type="dxa"/>
            <w:bottom w:w="0" w:type="dxa"/>
            <w:right w:w="0" w:type="dxa"/>
          </w:tcMar>
          <w:vAlign w:val="center"/>
        </w:tcPr>
        <w:p w14:paraId="21393360" w14:textId="77777777" w:rsidR="00481D0E" w:rsidRDefault="00481D0E" w:rsidP="00481D0E">
          <w:pPr>
            <w:spacing w:after="0"/>
            <w:jc w:val="center"/>
          </w:pPr>
          <w:r>
            <w:rPr>
              <w:noProof/>
            </w:rPr>
            <w:drawing>
              <wp:inline distT="0" distB="0" distL="0" distR="0" wp14:anchorId="464707AF" wp14:editId="2DFEAE26">
                <wp:extent cx="411480" cy="4747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411480" cy="474785"/>
                        </a:xfrm>
                        <a:prstGeom prst="rect">
                          <a:avLst/>
                        </a:prstGeom>
                      </pic:spPr>
                    </pic:pic>
                  </a:graphicData>
                </a:graphic>
              </wp:inline>
            </w:drawing>
          </w:r>
        </w:p>
      </w:tc>
      <w:tc>
        <w:tcPr>
          <w:tcW w:w="3456" w:type="dxa"/>
          <w:tcMar>
            <w:top w:w="0" w:type="dxa"/>
            <w:left w:w="0" w:type="dxa"/>
            <w:bottom w:w="0" w:type="dxa"/>
            <w:right w:w="0" w:type="dxa"/>
          </w:tcMar>
          <w:vAlign w:val="center"/>
        </w:tcPr>
        <w:p w14:paraId="2A74A0CD" w14:textId="77777777" w:rsidR="00481D0E" w:rsidRDefault="00481D0E" w:rsidP="00481D0E">
          <w:pPr>
            <w:spacing w:after="0"/>
            <w:jc w:val="center"/>
          </w:pPr>
          <w:r>
            <w:rPr>
              <w:noProof/>
            </w:rPr>
            <w:drawing>
              <wp:inline distT="0" distB="0" distL="0" distR="0" wp14:anchorId="1E6BBF06" wp14:editId="268C0D24">
                <wp:extent cx="384048" cy="48374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2"/>
                        <a:stretch>
                          <a:fillRect/>
                        </a:stretch>
                      </pic:blipFill>
                      <pic:spPr>
                        <a:xfrm>
                          <a:off x="0" y="0"/>
                          <a:ext cx="384048" cy="483742"/>
                        </a:xfrm>
                        <a:prstGeom prst="rect">
                          <a:avLst/>
                        </a:prstGeom>
                      </pic:spPr>
                    </pic:pic>
                  </a:graphicData>
                </a:graphic>
              </wp:inline>
            </w:drawing>
          </w:r>
        </w:p>
      </w:tc>
      <w:tc>
        <w:tcPr>
          <w:tcW w:w="3456" w:type="dxa"/>
          <w:tcMar>
            <w:top w:w="0" w:type="dxa"/>
            <w:left w:w="0" w:type="dxa"/>
            <w:bottom w:w="0" w:type="dxa"/>
            <w:right w:w="0" w:type="dxa"/>
          </w:tcMar>
          <w:vAlign w:val="center"/>
        </w:tcPr>
        <w:p w14:paraId="5749916B" w14:textId="77777777" w:rsidR="00481D0E" w:rsidRDefault="00481D0E" w:rsidP="00481D0E">
          <w:pPr>
            <w:spacing w:after="0"/>
            <w:jc w:val="center"/>
          </w:pPr>
          <w:r>
            <w:rPr>
              <w:noProof/>
            </w:rPr>
            <w:drawing>
              <wp:inline distT="0" distB="0" distL="0" distR="0" wp14:anchorId="65E0EE40" wp14:editId="0120F4BB">
                <wp:extent cx="384048" cy="4135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3"/>
                        <a:stretch>
                          <a:fillRect/>
                        </a:stretch>
                      </pic:blipFill>
                      <pic:spPr>
                        <a:xfrm>
                          <a:off x="0" y="0"/>
                          <a:ext cx="384048" cy="413591"/>
                        </a:xfrm>
                        <a:prstGeom prst="rect">
                          <a:avLst/>
                        </a:prstGeom>
                      </pic:spPr>
                    </pic:pic>
                  </a:graphicData>
                </a:graphic>
              </wp:inline>
            </w:drawing>
          </w:r>
        </w:p>
      </w:tc>
    </w:tr>
  </w:tbl>
  <w:p w14:paraId="72C20320" w14:textId="77777777" w:rsidR="00481D0E" w:rsidRDefault="00481D0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DBB4E" w14:textId="77777777" w:rsidR="00C108D0" w:rsidRDefault="00C108D0" w:rsidP="00481D0E">
      <w:pPr>
        <w:spacing w:after="0" w:line="240" w:lineRule="auto"/>
      </w:pPr>
      <w:r>
        <w:separator/>
      </w:r>
    </w:p>
  </w:footnote>
  <w:footnote w:type="continuationSeparator" w:id="0">
    <w:p w14:paraId="0CD8D3C4" w14:textId="77777777" w:rsidR="00C108D0" w:rsidRDefault="00C108D0" w:rsidP="00481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0F48" w14:textId="4F504FF1" w:rsidR="008533D6" w:rsidRPr="008533D6" w:rsidRDefault="008533D6" w:rsidP="008533D6">
    <w:pPr>
      <w:pStyle w:val="lfej"/>
      <w:rPr>
        <w:lang w:eastAsia="en-GB"/>
      </w:rPr>
    </w:pPr>
    <w:r>
      <w:rPr>
        <w:noProof/>
        <w:lang w:eastAsia="en-GB"/>
      </w:rPr>
      <w:drawing>
        <wp:inline distT="0" distB="0" distL="0" distR="0" wp14:anchorId="2F1C9EB0" wp14:editId="2953AEAF">
          <wp:extent cx="1905000" cy="704850"/>
          <wp:effectExtent l="0" t="0" r="0" b="0"/>
          <wp:docPr id="14022385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704850"/>
                  </a:xfrm>
                  <a:prstGeom prst="rect">
                    <a:avLst/>
                  </a:prstGeom>
                  <a:noFill/>
                  <a:ln>
                    <a:noFill/>
                  </a:ln>
                </pic:spPr>
              </pic:pic>
            </a:graphicData>
          </a:graphic>
        </wp:inline>
      </w:drawing>
    </w:r>
    <w:r w:rsidRPr="001F151A">
      <w:rPr>
        <w:lang w:eastAsia="en-GB"/>
      </w:rPr>
      <w:tab/>
    </w:r>
    <w:r w:rsidRPr="001F151A">
      <w:rPr>
        <w:lang w:eastAsia="en-GB"/>
      </w:rPr>
      <w:tab/>
      <w:t xml:space="preserve">  </w:t>
    </w:r>
    <w:r w:rsidRPr="001F151A">
      <w:rPr>
        <w:noProof/>
        <w:lang w:eastAsia="en-GB"/>
      </w:rPr>
      <w:drawing>
        <wp:inline distT="0" distB="0" distL="0" distR="0" wp14:anchorId="7800A3AB" wp14:editId="24B5AE68">
          <wp:extent cx="577850" cy="723900"/>
          <wp:effectExtent l="0" t="0" r="0" b="0"/>
          <wp:docPr id="10526214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7850" cy="723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2137873484">
    <w:abstractNumId w:val="8"/>
  </w:num>
  <w:num w:numId="2" w16cid:durableId="112868429">
    <w:abstractNumId w:val="6"/>
  </w:num>
  <w:num w:numId="3" w16cid:durableId="1968201133">
    <w:abstractNumId w:val="5"/>
  </w:num>
  <w:num w:numId="4" w16cid:durableId="480343917">
    <w:abstractNumId w:val="4"/>
  </w:num>
  <w:num w:numId="5" w16cid:durableId="445780791">
    <w:abstractNumId w:val="7"/>
  </w:num>
  <w:num w:numId="6" w16cid:durableId="542670680">
    <w:abstractNumId w:val="3"/>
  </w:num>
  <w:num w:numId="7" w16cid:durableId="751778087">
    <w:abstractNumId w:val="2"/>
  </w:num>
  <w:num w:numId="8" w16cid:durableId="757137768">
    <w:abstractNumId w:val="1"/>
  </w:num>
  <w:num w:numId="9" w16cid:durableId="1692609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81D0E"/>
    <w:rsid w:val="00550FB1"/>
    <w:rsid w:val="005E7F8D"/>
    <w:rsid w:val="006A3346"/>
    <w:rsid w:val="00706CC3"/>
    <w:rsid w:val="007F490B"/>
    <w:rsid w:val="008533D6"/>
    <w:rsid w:val="00A35FB0"/>
    <w:rsid w:val="00AA1D8D"/>
    <w:rsid w:val="00B47730"/>
    <w:rsid w:val="00BB0B7D"/>
    <w:rsid w:val="00C108D0"/>
    <w:rsid w:val="00CB0664"/>
    <w:rsid w:val="00EA67B7"/>
    <w:rsid w:val="00EB7C38"/>
    <w:rsid w:val="00FC693F"/>
    <w:rsid w:val="00FE30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000C28"/>
  <w14:defaultImageDpi w14:val="300"/>
  <w15:docId w15:val="{FB158E08-DBBB-48CF-B7E7-E12A64800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rPr>
      <w:rFonts w:ascii="Times New Roman" w:eastAsia="Times New Roman" w:hAnsi="Times New Roman"/>
      <w:sz w:val="20"/>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hivatkozs">
    <w:name w:val="Hyperlink"/>
    <w:basedOn w:val="Bekezdsalapbettpusa"/>
    <w:uiPriority w:val="99"/>
    <w:unhideWhenUsed/>
    <w:rsid w:val="00EB7C38"/>
    <w:rPr>
      <w:color w:val="0000FF" w:themeColor="hyperlink"/>
      <w:u w:val="single"/>
    </w:rPr>
  </w:style>
  <w:style w:type="character" w:styleId="Feloldatlanmegemlts">
    <w:name w:val="Unresolved Mention"/>
    <w:basedOn w:val="Bekezdsalapbettpusa"/>
    <w:uiPriority w:val="99"/>
    <w:semiHidden/>
    <w:unhideWhenUsed/>
    <w:rsid w:val="00EB7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kkszentkeresztpalyazatok@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379</Words>
  <Characters>2618</Characters>
  <Application>Microsoft Office Word</Application>
  <DocSecurity>0</DocSecurity>
  <Lines>21</Lines>
  <Paragraphs>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Sandra BlackCat</cp:lastModifiedBy>
  <cp:revision>5</cp:revision>
  <cp:lastPrinted>2026-10-14T08:28:00Z</cp:lastPrinted>
  <dcterms:created xsi:type="dcterms:W3CDTF">2013-12-23T23:15:00Z</dcterms:created>
  <dcterms:modified xsi:type="dcterms:W3CDTF">2026-10-14T08:31:00Z</dcterms:modified>
  <cp:category/>
</cp:coreProperties>
</file>